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7C" w:rsidRDefault="0036147C" w:rsidP="0036147C">
      <w:pPr>
        <w:pStyle w:val="2"/>
        <w:keepNext w:val="0"/>
        <w:keepLines w:val="0"/>
        <w:jc w:val="center"/>
        <w:rPr>
          <w:rFonts w:ascii="Times New Roman" w:hAnsi="Times New Roman" w:cs="Times New Roman"/>
          <w:sz w:val="44"/>
          <w:szCs w:val="44"/>
        </w:rPr>
      </w:pPr>
      <w:bookmarkStart w:id="0" w:name="_Toc19866926"/>
      <w:r>
        <w:rPr>
          <w:rFonts w:ascii="Times New Roman" w:hAnsi="Times New Roman" w:cs="Times New Roman"/>
          <w:sz w:val="44"/>
          <w:szCs w:val="44"/>
        </w:rPr>
        <w:t>International Convention for the Unification of Certain Rules of Law Relating to Bills of Lading,</w:t>
      </w:r>
      <w:r w:rsidR="006B4B7B">
        <w:rPr>
          <w:rFonts w:ascii="Times New Roman" w:hAnsi="Times New Roman" w:cs="Times New Roman"/>
          <w:sz w:val="44"/>
          <w:szCs w:val="44"/>
        </w:rPr>
        <w:t xml:space="preserve"> </w:t>
      </w:r>
      <w:r>
        <w:rPr>
          <w:rFonts w:ascii="Times New Roman" w:hAnsi="Times New Roman" w:cs="Times New Roman"/>
          <w:sz w:val="44"/>
          <w:szCs w:val="44"/>
        </w:rPr>
        <w:t>1924</w:t>
      </w:r>
      <w:bookmarkEnd w:id="0"/>
    </w:p>
    <w:p w:rsidR="0036147C" w:rsidRDefault="006B4B7B" w:rsidP="0036147C">
      <w:r>
        <w:rPr>
          <w:rFonts w:hint="eastAsia"/>
        </w:rPr>
        <w:t xml:space="preserve">          </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1</w:t>
      </w:r>
      <w:r w:rsidR="006B4B7B">
        <w:rPr>
          <w:rFonts w:ascii="Times New Roman" w:eastAsia="华文楷体" w:hAnsi="Times New Roman"/>
          <w:sz w:val="32"/>
          <w:szCs w:val="32"/>
        </w:rPr>
        <w:t xml:space="preserve"> </w:t>
      </w:r>
      <w:r>
        <w:rPr>
          <w:rFonts w:ascii="Times New Roman" w:eastAsia="华文楷体" w:hAnsi="Times New Roman"/>
          <w:sz w:val="32"/>
          <w:szCs w:val="32"/>
        </w:rPr>
        <w:t xml:space="preserve">In this Convention the following words are employed with the meanings set out below: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(a</w:t>
      </w:r>
      <w:r w:rsidR="00465D35">
        <w:rPr>
          <w:rFonts w:ascii="Times New Roman" w:eastAsia="华文楷体" w:hAnsi="Times New Roman"/>
          <w:sz w:val="32"/>
          <w:szCs w:val="32"/>
        </w:rPr>
        <w:t>) “</w:t>
      </w:r>
      <w:r>
        <w:rPr>
          <w:rFonts w:ascii="Times New Roman" w:eastAsia="华文楷体" w:hAnsi="Times New Roman"/>
          <w:sz w:val="32"/>
          <w:szCs w:val="32"/>
        </w:rPr>
        <w:t xml:space="preserve">Carrier” includes the owner or the charterer who enters into a contract of carriage with a shipper.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(b</w:t>
      </w:r>
      <w:r w:rsidR="00465D35">
        <w:rPr>
          <w:rFonts w:ascii="Times New Roman" w:eastAsia="华文楷体" w:hAnsi="Times New Roman"/>
          <w:sz w:val="32"/>
          <w:szCs w:val="32"/>
        </w:rPr>
        <w:t>) “</w:t>
      </w:r>
      <w:r>
        <w:rPr>
          <w:rFonts w:ascii="Times New Roman" w:eastAsia="华文楷体" w:hAnsi="Times New Roman"/>
          <w:sz w:val="32"/>
          <w:szCs w:val="32"/>
        </w:rPr>
        <w:t>Contract of carriage”</w:t>
      </w:r>
      <w:r w:rsidR="00465D35">
        <w:rPr>
          <w:rFonts w:ascii="Times New Roman" w:eastAsia="华文楷体" w:hAnsi="Times New Roman"/>
          <w:sz w:val="32"/>
          <w:szCs w:val="32"/>
        </w:rPr>
        <w:t xml:space="preserve"> </w:t>
      </w:r>
      <w:r>
        <w:rPr>
          <w:rFonts w:ascii="Times New Roman" w:eastAsia="华文楷体" w:hAnsi="Times New Roman"/>
          <w:sz w:val="32"/>
          <w:szCs w:val="32"/>
        </w:rPr>
        <w:t xml:space="preserve">applies only to contracts of carriage covered by a bill of lading or any similar document of title, in so far as such document relates to the carriage of goods by sea, including any bill of lading or any similar document as aforesaid issued under or pursuant to a charter party from the moment at which such bill of lading or similar document of title regulates the relations between a carrier and a holder of the same.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(c</w:t>
      </w:r>
      <w:r w:rsidR="00465D35">
        <w:rPr>
          <w:rFonts w:ascii="Times New Roman" w:eastAsia="华文楷体" w:hAnsi="Times New Roman"/>
          <w:sz w:val="32"/>
          <w:szCs w:val="32"/>
        </w:rPr>
        <w:t>) “</w:t>
      </w:r>
      <w:r>
        <w:rPr>
          <w:rFonts w:ascii="Times New Roman" w:eastAsia="华文楷体" w:hAnsi="Times New Roman"/>
          <w:sz w:val="32"/>
          <w:szCs w:val="32"/>
        </w:rPr>
        <w:t xml:space="preserve">Goods” includes goods, wares, merchandise and articles of every kind whatsoever except live animals and cargo which by the contract of carriage in stated as being carried on deck and is so carried.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(d</w:t>
      </w:r>
      <w:r w:rsidR="00465D35">
        <w:rPr>
          <w:rFonts w:ascii="Times New Roman" w:eastAsia="华文楷体" w:hAnsi="Times New Roman"/>
          <w:sz w:val="32"/>
          <w:szCs w:val="32"/>
        </w:rPr>
        <w:t>) “</w:t>
      </w:r>
      <w:r>
        <w:rPr>
          <w:rFonts w:ascii="Times New Roman" w:eastAsia="华文楷体" w:hAnsi="Times New Roman"/>
          <w:sz w:val="32"/>
          <w:szCs w:val="32"/>
        </w:rPr>
        <w:t xml:space="preserve">Ship” means any vessel used for the carriage of goods by sea.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(e</w:t>
      </w:r>
      <w:r w:rsidR="00465D35">
        <w:rPr>
          <w:rFonts w:ascii="Times New Roman" w:eastAsia="华文楷体" w:hAnsi="Times New Roman"/>
          <w:sz w:val="32"/>
          <w:szCs w:val="32"/>
        </w:rPr>
        <w:t>) “</w:t>
      </w:r>
      <w:r>
        <w:rPr>
          <w:rFonts w:ascii="Times New Roman" w:eastAsia="华文楷体" w:hAnsi="Times New Roman"/>
          <w:sz w:val="32"/>
          <w:szCs w:val="32"/>
        </w:rPr>
        <w:t>Carriage of goods”</w:t>
      </w:r>
      <w:r w:rsidR="003772CB">
        <w:rPr>
          <w:rFonts w:ascii="Times New Roman" w:eastAsia="华文楷体" w:hAnsi="Times New Roman"/>
          <w:sz w:val="32"/>
          <w:szCs w:val="32"/>
        </w:rPr>
        <w:t xml:space="preserve"> </w:t>
      </w:r>
      <w:r>
        <w:rPr>
          <w:rFonts w:ascii="Times New Roman" w:eastAsia="华文楷体" w:hAnsi="Times New Roman"/>
          <w:sz w:val="32"/>
          <w:szCs w:val="32"/>
        </w:rPr>
        <w:t>covers the period from the time when the goods are loaded on to the time they are discharged from the ship.</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lastRenderedPageBreak/>
        <w:t>Article 2</w:t>
      </w:r>
      <w:r w:rsidR="006B4B7B">
        <w:rPr>
          <w:rFonts w:ascii="Times New Roman" w:eastAsia="华文楷体" w:hAnsi="Times New Roman"/>
          <w:sz w:val="32"/>
          <w:szCs w:val="32"/>
        </w:rPr>
        <w:t xml:space="preserve"> </w:t>
      </w:r>
      <w:r>
        <w:rPr>
          <w:rFonts w:ascii="Times New Roman" w:eastAsia="华文楷体" w:hAnsi="Times New Roman"/>
          <w:sz w:val="32"/>
          <w:szCs w:val="32"/>
        </w:rPr>
        <w:t>Subject to the provisions of Article 6, under every contract of carriage of goods by sea the carrier, in relation to the loading, handling, stowage, carriage, custody, care and discharge of such goods, shall be subject to the responsibilities and liabilities, and entitled to the rights and immunities hereinafter set forth.</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 xml:space="preserve">Article </w:t>
      </w:r>
      <w:r>
        <w:rPr>
          <w:rFonts w:ascii="Times New Roman" w:eastAsia="华文楷体" w:hAnsi="Times New Roman"/>
          <w:sz w:val="32"/>
          <w:szCs w:val="32"/>
        </w:rPr>
        <w:t xml:space="preserve">3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1.The carrier shall be bound before and at the beginning of the voyage to exercise due diligence to: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(a)Make the ship seaworthy.</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(b)Properly man, equip and supply the ship.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(c)Make the holds, refrigerating and cool chambers, and all other parts of the ship in which goods are carried, fit and safe for their reception, carriage and preservation.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2.Subject to the provisions of Article 4, the carrier shall properly and carefully load, handle, stow, carry, keep, care for, and discharge the goods carried.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3.After receiving the goods into his charge the carrier or the master or agent of the carrier shall, on demand of the shipper, issue to the shipper a bill of lading showing among other things: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(a)The leading marks necessary for identification of the goods as the same are furnished in writing by the shipper before the loading of such goods starts, provided such marks are stamped or otherwise shown clearly upon the goods if uncovered, or on </w:t>
      </w:r>
      <w:r>
        <w:rPr>
          <w:rFonts w:ascii="Times New Roman" w:eastAsia="华文楷体" w:hAnsi="Times New Roman"/>
          <w:sz w:val="32"/>
          <w:szCs w:val="32"/>
        </w:rPr>
        <w:lastRenderedPageBreak/>
        <w:t xml:space="preserve">the cases or coverings in which such goods are contained, in such a manner as should ordinarily remain legible until the end of the voyage.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(b)Either the number of packages or pieces, or the quantity, or weight, as the case may be, as furnished in writing by the shipper.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(c)The apparent order and condition of the goods.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4.Provided that no carrier, master or agent of the carrier shall be bound to state or show in the bill of lading any marks, number, quantity, or weight which he has reasonable ground for suspecting not accurately to represent the goods actually received, or which he has had no reasonable means of checking.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Such a bill of lading shall be prima facie evidence of the receipt by the carrier of the goods as therein described in accordance with paragraph 3(a), (b) and (c).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5.The shipper shall be deemed to have guaranteed to the carrier the accuracy at the time of shipment of the marks, number, quantity and weight, as furnished by him, and the shipper shall indemnity the carrier against all loss, damages and expenses arising or resulting from inaccuracies in such particulars. The right of the carrier to such indemnity shall in no way limit his responsibility and liability under the contract of carriage to any person other than the shipper.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6.Unless notice of loss or damage and the general nature of </w:t>
      </w:r>
      <w:r>
        <w:rPr>
          <w:rFonts w:ascii="Times New Roman" w:eastAsia="华文楷体" w:hAnsi="Times New Roman"/>
          <w:sz w:val="32"/>
          <w:szCs w:val="32"/>
        </w:rPr>
        <w:lastRenderedPageBreak/>
        <w:t xml:space="preserve">such loss or damage be given in writing to the carrier or his agent at the port of discharge before or at the time of the removal of the goods into the custody of the person entitled to delivery thereof under the contract of carriage, or, if the loss or damage be not apparent, within three days, such removal shall be prima facie evidence of the delivery by the carrier of the goods as described in the bill of lading.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If the loss or damage is not apparent, the notice must be given within three days of the delivery of the goods.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The notice in writing need not be given if the state of the goods has, at the time of their receipt, been the subject of joint survey or inspection.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In any event the carrier and the ship shall be discharged from all liability in respect of loss or damage unless suit is brought within one year after delivery of the goods or the date when the goods should have been delivered.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In the case of any actual or apprehended loss or damage the carrier and the receiver shall give all reasonable facilities to each other for inspecting and tallying the goods.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7.After the goods are loaded the bill of lading to be issued by the carrier, master, or agent of the carrier, to the shipper shall, if the shipper so demands, be a “shipped” bill of lading, provided that if the shipper shall have previously taken up any document of title to such goods, he shall surrender the same as against the </w:t>
      </w:r>
      <w:r>
        <w:rPr>
          <w:rFonts w:ascii="Times New Roman" w:eastAsia="华文楷体" w:hAnsi="Times New Roman"/>
          <w:sz w:val="32"/>
          <w:szCs w:val="32"/>
        </w:rPr>
        <w:lastRenderedPageBreak/>
        <w:t>issue of the</w:t>
      </w:r>
      <w:r w:rsidR="003772CB">
        <w:rPr>
          <w:rFonts w:ascii="Times New Roman" w:eastAsia="华文楷体" w:hAnsi="Times New Roman"/>
          <w:sz w:val="32"/>
          <w:szCs w:val="32"/>
        </w:rPr>
        <w:t xml:space="preserve"> </w:t>
      </w:r>
      <w:r>
        <w:rPr>
          <w:rFonts w:ascii="Times New Roman" w:eastAsia="华文楷体" w:hAnsi="Times New Roman"/>
          <w:sz w:val="32"/>
          <w:szCs w:val="32"/>
        </w:rPr>
        <w:t xml:space="preserve">“shipped” bill of lading, but at the option of the carrier such document of title may be noted at the port of shipment by the carrier, master, or agent with the name or names of the ship or ships upon which the goods have been shipped and the date or dates of shipment, and when so noted, if it shows the particulars mentioned in paragraph 3 of Article 3, shall for the purpose of this Article be deemed to constitute a “shipped” bill of lading.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8.Any clause, covenant, or agreement in a contract of carriage relieving the carrier or the ship from liability for loss or damage to, or in </w:t>
      </w:r>
      <w:r w:rsidR="003772CB">
        <w:rPr>
          <w:rFonts w:ascii="Times New Roman" w:eastAsia="华文楷体" w:hAnsi="Times New Roman"/>
          <w:sz w:val="32"/>
          <w:szCs w:val="32"/>
        </w:rPr>
        <w:t>connation</w:t>
      </w:r>
      <w:r>
        <w:rPr>
          <w:rFonts w:ascii="Times New Roman" w:eastAsia="华文楷体" w:hAnsi="Times New Roman"/>
          <w:sz w:val="32"/>
          <w:szCs w:val="32"/>
        </w:rPr>
        <w:t xml:space="preserve"> with, goods arising from negligence, fault, or failure in the duties and obligations provided in this Article or lessening such liability otherwise than as provided in this Convention, shall be null and void and of no effect. A benefit of insurance in favour of the carrier or similar clause shall be deemed to be a clause relieving the carrier from liability.</w:t>
      </w:r>
    </w:p>
    <w:p w:rsidR="0036147C" w:rsidRDefault="0036147C" w:rsidP="0036147C">
      <w:pPr>
        <w:spacing w:line="560" w:lineRule="exact"/>
        <w:ind w:firstLineChars="200" w:firstLine="641"/>
        <w:rPr>
          <w:rFonts w:ascii="Times New Roman" w:eastAsia="华文楷体" w:hAnsi="Times New Roman"/>
          <w:b/>
          <w:bCs/>
          <w:sz w:val="32"/>
          <w:szCs w:val="32"/>
        </w:rPr>
      </w:pPr>
      <w:r>
        <w:rPr>
          <w:rFonts w:ascii="Times New Roman" w:eastAsia="华文楷体" w:hAnsi="Times New Roman"/>
          <w:b/>
          <w:bCs/>
          <w:sz w:val="32"/>
          <w:szCs w:val="32"/>
        </w:rPr>
        <w:t xml:space="preserve"> Article 4</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1.</w:t>
      </w:r>
      <w:r>
        <w:rPr>
          <w:rFonts w:ascii="Times New Roman" w:eastAsia="华文楷体" w:hAnsi="Times New Roman"/>
          <w:sz w:val="32"/>
          <w:szCs w:val="32"/>
        </w:rPr>
        <w:t xml:space="preserve">Neither the carrier nor the ship shall be liable for loss or damage arising or resulting from unseaworthiness unless caused by want of due diligence on the part of the carrier to make the ship seaworthy and to secure that the ship is properly manned, equipped and supplied, and to make the holds, refrigerating and cool chambers and all other parts of the ship in which goods are carried fit and safe for their reception, carriage and preservation in accordance with the provisions of paragraph 1 of Article 3. </w:t>
      </w:r>
      <w:r>
        <w:rPr>
          <w:rFonts w:ascii="Times New Roman" w:eastAsia="华文楷体" w:hAnsi="Times New Roman"/>
          <w:sz w:val="32"/>
          <w:szCs w:val="32"/>
        </w:rPr>
        <w:lastRenderedPageBreak/>
        <w:t xml:space="preserve">Whenever loss or damage has resulted from unseaworthiness the burden of proving the exercise of due diligence shall be on the carrier or other person claiming exemption under this Article.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2.Neither the carrier nor the ship shall be responsible for loss or damage arising or resulting from:</w:t>
      </w:r>
      <w:r w:rsidR="006B4B7B">
        <w:rPr>
          <w:rFonts w:ascii="Times New Roman" w:eastAsia="华文楷体" w:hAnsi="Times New Roman"/>
          <w:sz w:val="32"/>
          <w:szCs w:val="32"/>
        </w:rPr>
        <w:t xml:space="preserve">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(a)Act, neglect, or default of the master, mariner, pilot, or the servants of the carrier in the navigation or in the management of the ship.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(b)Fire, unless caused by the actual fault or privity of the carrier.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(c)Perils, dangers and accidents of the sea or other navigable waters.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(d)Act of God.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(e)Act of war.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(f)Act of public enemies.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(g)Arrest or restraint or princes, rulers or people, or seizure under legal process.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(h)Quarantine restrictions.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(i)Act or omission of the shipper or owner of the goods, his agent or representative.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(j)Strikes or lockouts or stoppage or restraint of labour from whatever cause, whether partial or general.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(k)Riots and civil commotions.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(l)Saving or attempting to save life or property at sea.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lastRenderedPageBreak/>
        <w:t xml:space="preserve">(m)Wastage in bulk or weight or any other loss or damage arising from inherent defect, quality or vice of the goods.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(n)Insufficiency of packing.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(o)Insufficiency or inadequacy of marks.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(p)Latent defects not discoverable by due diligence.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(q)Any other cause arising without the actual fault or privity of the carrier, or without the actual fault or neglect of the agents or servants of the carrier, but the burden of proof shall be on the person claiming the benefit of this exception to show that neither the actual fault or privity of the carrier nor the fault or neglect of the agents or servants of the carrier contributed to the loss or damage.</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3.shipper shall not be responsible for loss or damage sustained by the carrier or the ship arising or resulting from any cause without the act, fault or neglect of the shipper, his agents or his servants.</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4.Any deviation in saving or attempting to save life or property at sea or any reasonable deviation shall not be deemed to be an infringement or breach of this Convention or of the contract of carriage, and the carrier shall not be liable for any loss or damage resulting therefrom.</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5.Neither the carrier nor the ship shall in any event be or become liable for any loss or damage to or in connexion</w:t>
      </w:r>
      <w:bookmarkStart w:id="1" w:name="_GoBack"/>
      <w:bookmarkEnd w:id="1"/>
      <w:r>
        <w:rPr>
          <w:rFonts w:ascii="Times New Roman" w:eastAsia="华文楷体" w:hAnsi="Times New Roman"/>
          <w:sz w:val="32"/>
          <w:szCs w:val="32"/>
        </w:rPr>
        <w:t xml:space="preserve"> with goods in an amount exceeding 100 pounds sterling per package </w:t>
      </w:r>
      <w:r>
        <w:rPr>
          <w:rFonts w:ascii="Times New Roman" w:eastAsia="华文楷体" w:hAnsi="Times New Roman"/>
          <w:sz w:val="32"/>
          <w:szCs w:val="32"/>
        </w:rPr>
        <w:lastRenderedPageBreak/>
        <w:t xml:space="preserve">or unit, or the equivalent of that sum in other currency unless the nature and value of such goods have been declared by the shipper before shipment and inserted in the bill of lading.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This declaration if embodied in the bill of lading shall be prima facie evidence, but shall not be binding or conclusive on the carrier.</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By agreement between the carrier, master or agent of the carrier and the shipper another maximum amount than that mentioned in this paragraph may be fixed, provided that such maximum shall not be less than the figure above named.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Neither the carrier nor the ship shall be responsible in any event for loss or damage to, or in connexion with, goods if the nature or value thereof has been knowingly misstated by the shipper in the bill of lading.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6.Goods of an inflammable, explosive or dangerous nature to the shipment whereof the carrier, master or agent of the carrier has not consented with knowledge of their nature and character, may at any time before discharge be landed at any place, or destroyed or rendered innocuous by the carrier without compensation and the shipper of such goods shall be liable for all damage and expenses directly or indirectly arising out of or resulting from such shipment. If any such goods shipped with such knowledge and consent shall become a danger to the ship or cargo, they may in like manner be landed at any place, or </w:t>
      </w:r>
      <w:r>
        <w:rPr>
          <w:rFonts w:ascii="Times New Roman" w:eastAsia="华文楷体" w:hAnsi="Times New Roman"/>
          <w:sz w:val="32"/>
          <w:szCs w:val="32"/>
        </w:rPr>
        <w:lastRenderedPageBreak/>
        <w:t>destroyed or rendered innocuous by the carrier without liability on the part of the carrier except to general average, if any.</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5</w:t>
      </w:r>
      <w:r w:rsidR="006B4B7B">
        <w:rPr>
          <w:rFonts w:ascii="Times New Roman" w:eastAsia="华文楷体" w:hAnsi="Times New Roman"/>
          <w:b/>
          <w:bCs/>
          <w:sz w:val="32"/>
          <w:szCs w:val="32"/>
        </w:rPr>
        <w:t xml:space="preserve"> </w:t>
      </w:r>
      <w:r>
        <w:rPr>
          <w:rFonts w:ascii="Times New Roman" w:eastAsia="华文楷体" w:hAnsi="Times New Roman"/>
          <w:sz w:val="32"/>
          <w:szCs w:val="32"/>
        </w:rPr>
        <w:t xml:space="preserve">A carrier shall be at liberty to surrender in whole or in part all or any of his rights and immunities or to increase any of his responsibilities and obligations under this Convention, provided such surrender or increase shall be embodied in the bill of lading issued to the shipper.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The provisions of this Convention shall not be applicable to charter parties, but if bills of lading are issued in the case of a ship under a charter party they shall comply with the terms of this Convention. Nothing in these rules shall be held to prevent the insertion in a bill of lading of any lawful provision regarding general average.</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6</w:t>
      </w:r>
      <w:r w:rsidR="006B4B7B">
        <w:rPr>
          <w:rFonts w:ascii="Times New Roman" w:eastAsia="华文楷体" w:hAnsi="Times New Roman"/>
          <w:sz w:val="32"/>
          <w:szCs w:val="32"/>
        </w:rPr>
        <w:t xml:space="preserve"> </w:t>
      </w:r>
      <w:r>
        <w:rPr>
          <w:rFonts w:ascii="Times New Roman" w:eastAsia="华文楷体" w:hAnsi="Times New Roman"/>
          <w:sz w:val="32"/>
          <w:szCs w:val="32"/>
        </w:rPr>
        <w:t xml:space="preserve">Notwithstanding the provisions of the preceding Articles, a carrier, master or agent of the carrier and a shipper shall in regard to any particular goods be at liberty to enter into any agreement in any terms as to the responsibility and liability of the carrier for such goods, and as to the rights and immunities of the carrier in respect of such goods, or his obligation as to seaworthiness, so far as this stipulation is not contrary to public policy, or the care or diligence of his servants or agents in regard to the loading, handling, stowage, carriage, custody, care and discharge of the goods carried by sea, provided that in this case no bill of lading has been or shall be issued and that the terms </w:t>
      </w:r>
      <w:r>
        <w:rPr>
          <w:rFonts w:ascii="Times New Roman" w:eastAsia="华文楷体" w:hAnsi="Times New Roman"/>
          <w:sz w:val="32"/>
          <w:szCs w:val="32"/>
        </w:rPr>
        <w:lastRenderedPageBreak/>
        <w:t xml:space="preserve">agreed shall be embodied in a receipt which shall be a non-negotiable document and shall be marked as such.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Any agreement so entered into shall have full legal effect.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Provided that this Article shall not apply to ordinary commercial shipments made in the ordinary course of trade, but only to other shipments where the character or condition of the property to be carried or the circumstances, terms and conditions under which the carriage is to be performed are such as reasonably to justify a special agreement.</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7</w:t>
      </w:r>
      <w:r w:rsidR="006B4B7B">
        <w:rPr>
          <w:rFonts w:ascii="Times New Roman" w:eastAsia="华文楷体" w:hAnsi="Times New Roman"/>
          <w:b/>
          <w:bCs/>
          <w:sz w:val="32"/>
          <w:szCs w:val="32"/>
        </w:rPr>
        <w:t xml:space="preserve"> </w:t>
      </w:r>
      <w:r>
        <w:rPr>
          <w:rFonts w:ascii="Times New Roman" w:eastAsia="华文楷体" w:hAnsi="Times New Roman"/>
          <w:sz w:val="32"/>
          <w:szCs w:val="32"/>
        </w:rPr>
        <w:t>Nothing herein contained shall prevent a carrier or a shipper from entering into any agreement, stipulation, condition, reservation or exemption as to the responsibility and liability of the carrier or the ship for the loss or damage to, or in connexion with, the custody and care and handling of goods prior to the loading on, and subsequent to, the discharge from the ship on which the goods are carried by sea.</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8</w:t>
      </w:r>
      <w:r w:rsidR="006B4B7B">
        <w:rPr>
          <w:rFonts w:ascii="Times New Roman" w:eastAsia="华文楷体" w:hAnsi="Times New Roman"/>
          <w:sz w:val="32"/>
          <w:szCs w:val="32"/>
        </w:rPr>
        <w:t xml:space="preserve"> </w:t>
      </w:r>
      <w:r>
        <w:rPr>
          <w:rFonts w:ascii="Times New Roman" w:eastAsia="华文楷体" w:hAnsi="Times New Roman"/>
          <w:sz w:val="32"/>
          <w:szCs w:val="32"/>
        </w:rPr>
        <w:t>The provisions of this Convention shall not affect the rights and obligations of the carrier under any statute for the time being in force relating to the limitation of the liability of owners of sea-going vessels.</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9</w:t>
      </w:r>
      <w:r w:rsidR="006B4B7B">
        <w:rPr>
          <w:rFonts w:ascii="Times New Roman" w:eastAsia="华文楷体" w:hAnsi="Times New Roman"/>
          <w:sz w:val="32"/>
          <w:szCs w:val="32"/>
        </w:rPr>
        <w:t xml:space="preserve"> </w:t>
      </w:r>
      <w:r>
        <w:rPr>
          <w:rFonts w:ascii="Times New Roman" w:eastAsia="华文楷体" w:hAnsi="Times New Roman"/>
          <w:sz w:val="32"/>
          <w:szCs w:val="32"/>
        </w:rPr>
        <w:t xml:space="preserve">The monetary units mentioned in this Convention are to be taken to be gold value.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Those contracting States in which the pound sterling is not a monetary unit reserve to themselves the right of translating the </w:t>
      </w:r>
      <w:r>
        <w:rPr>
          <w:rFonts w:ascii="Times New Roman" w:eastAsia="华文楷体" w:hAnsi="Times New Roman"/>
          <w:sz w:val="32"/>
          <w:szCs w:val="32"/>
        </w:rPr>
        <w:lastRenderedPageBreak/>
        <w:t xml:space="preserve">sums indicated in this Convention in terms of pound sterling into terms of their own monetary system in round figures.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The national laws may reserve to the debtor the right of discharging his debt in national currency according to the rate of exchange prevailing on the day of the arrival of the ship at the port of discharge of the goods concerned.</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10</w:t>
      </w:r>
      <w:r w:rsidR="006B4B7B">
        <w:rPr>
          <w:rFonts w:ascii="Times New Roman" w:eastAsia="华文楷体" w:hAnsi="Times New Roman"/>
          <w:b/>
          <w:bCs/>
          <w:sz w:val="32"/>
          <w:szCs w:val="32"/>
        </w:rPr>
        <w:t xml:space="preserve"> </w:t>
      </w:r>
      <w:r>
        <w:rPr>
          <w:rFonts w:ascii="Times New Roman" w:eastAsia="华文楷体" w:hAnsi="Times New Roman"/>
          <w:sz w:val="32"/>
          <w:szCs w:val="32"/>
        </w:rPr>
        <w:t>The provisions of this Convention shall apply to all bills of lading issued in any of the contracting States.</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11</w:t>
      </w:r>
      <w:r w:rsidR="006B4B7B">
        <w:rPr>
          <w:rFonts w:ascii="Times New Roman" w:eastAsia="华文楷体" w:hAnsi="Times New Roman"/>
          <w:b/>
          <w:bCs/>
          <w:sz w:val="32"/>
          <w:szCs w:val="32"/>
        </w:rPr>
        <w:t xml:space="preserve"> </w:t>
      </w:r>
      <w:r>
        <w:rPr>
          <w:rFonts w:ascii="Times New Roman" w:eastAsia="华文楷体" w:hAnsi="Times New Roman"/>
          <w:sz w:val="32"/>
          <w:szCs w:val="32"/>
        </w:rPr>
        <w:t xml:space="preserve">After an interval of not more than two years from the day on which the Convention is signed, the Belgian Government shall place itself in communication with the Governments of the High Contracting Parties which have declared themselves prepared to ratify the Convention, with a view to deciding whether it shall be put into force. The ratifications shall be deposited at Brussels at a date to be fixed by agreement among the said Governments. The first deposit of ratifications shall be recorded in a procès-verbal signed by the representatives of the Powers which take part therein and by the Belgian Minister of Foreign Affairs.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The subsequent deposit of ratifications shall be made by means of a written notification, addressed to the Belgian Government and accompanied by the instrument of ratification.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A duly certified copy of the procès-verbal relating to the first deposit of ratifications, of the notifications referred to in the </w:t>
      </w:r>
      <w:r>
        <w:rPr>
          <w:rFonts w:ascii="Times New Roman" w:eastAsia="华文楷体" w:hAnsi="Times New Roman"/>
          <w:sz w:val="32"/>
          <w:szCs w:val="32"/>
        </w:rPr>
        <w:lastRenderedPageBreak/>
        <w:t>previous paragraph, and also of the instruments of ratification accompanying them, shall be immediately sent by the Belgian Government through the diplomatic channel to the Powers who have signed this Convention or who have acceded to it. In the cases contemplated in the preceding paragraph, the said Government shall inform them at the same time of the date on which it received the notification.</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12</w:t>
      </w:r>
      <w:r w:rsidR="006B4B7B">
        <w:rPr>
          <w:rFonts w:ascii="Times New Roman" w:eastAsia="华文楷体" w:hAnsi="Times New Roman"/>
          <w:b/>
          <w:bCs/>
          <w:sz w:val="32"/>
          <w:szCs w:val="32"/>
        </w:rPr>
        <w:t xml:space="preserve"> </w:t>
      </w:r>
      <w:r>
        <w:rPr>
          <w:rFonts w:ascii="Times New Roman" w:eastAsia="华文楷体" w:hAnsi="Times New Roman"/>
          <w:sz w:val="32"/>
          <w:szCs w:val="32"/>
        </w:rPr>
        <w:t xml:space="preserve">Non-signatory States may accede to the present Convention whether or not they have been represented at the International Conference at Brussels.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A State which desires to accede shall notify its intention in writing to the Belgian Government, forwarding to it the document of accession, which shall be deposited in the archives of the said Government.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The Belgian Government shall immediately forward to all the States which have signed or acceded to the Convention a duly certified copy of the notification and of the act of accession, mentioning the date on which it received the notification.</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13</w:t>
      </w:r>
      <w:r w:rsidR="006B4B7B">
        <w:rPr>
          <w:rFonts w:ascii="Times New Roman" w:eastAsia="华文楷体" w:hAnsi="Times New Roman"/>
          <w:sz w:val="32"/>
          <w:szCs w:val="32"/>
        </w:rPr>
        <w:t xml:space="preserve"> </w:t>
      </w:r>
      <w:r>
        <w:rPr>
          <w:rFonts w:ascii="Times New Roman" w:eastAsia="华文楷体" w:hAnsi="Times New Roman"/>
          <w:sz w:val="32"/>
          <w:szCs w:val="32"/>
        </w:rPr>
        <w:t xml:space="preserve">The High Contracting Parties may at the time of signature, ratification or accession declare that their acceptance of the present Convention does not include any or all of the self-governing dominions, or of the colonies, overseas possessions, protectorates or territories under their sovereignty or authority, and they may subsequently accede separately on behalf of any </w:t>
      </w:r>
      <w:r>
        <w:rPr>
          <w:rFonts w:ascii="Times New Roman" w:eastAsia="华文楷体" w:hAnsi="Times New Roman"/>
          <w:sz w:val="32"/>
          <w:szCs w:val="32"/>
        </w:rPr>
        <w:lastRenderedPageBreak/>
        <w:t>self-governing dominion, colony, overseas possession, protectorate or territory excluded in their declaration. They may also denounce the Convention separately in accordance with its provisions in respect of any self-governing dominion, or any colony, overseas possession, protectorate or territory under their sovereignty or authority.</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14</w:t>
      </w:r>
      <w:r w:rsidR="006B4B7B">
        <w:rPr>
          <w:rFonts w:ascii="Times New Roman" w:eastAsia="华文楷体" w:hAnsi="Times New Roman"/>
          <w:b/>
          <w:bCs/>
          <w:sz w:val="32"/>
          <w:szCs w:val="32"/>
        </w:rPr>
        <w:t xml:space="preserve"> </w:t>
      </w:r>
      <w:r>
        <w:rPr>
          <w:rFonts w:ascii="Times New Roman" w:eastAsia="华文楷体" w:hAnsi="Times New Roman"/>
          <w:sz w:val="32"/>
          <w:szCs w:val="32"/>
        </w:rPr>
        <w:t>The present Convention shall take effect, in the case of the States which have taken part in the first deposit of ratifications, one year after the date of the protocol recording such deposit.</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As respects the States which ratify subsequently or which accede, and also in cases in which the Convention is subsequently put into effect in accordance with Article 13, it shall take effect six months after the notifications specified in paragraph 2 of Article 11 and paragraph 2 of Article 12 have been received by the Belgian Government.</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15</w:t>
      </w:r>
      <w:r w:rsidR="006B4B7B">
        <w:rPr>
          <w:rFonts w:ascii="Times New Roman" w:eastAsia="华文楷体" w:hAnsi="Times New Roman"/>
          <w:b/>
          <w:bCs/>
          <w:sz w:val="32"/>
          <w:szCs w:val="32"/>
        </w:rPr>
        <w:t xml:space="preserve"> </w:t>
      </w:r>
      <w:r>
        <w:rPr>
          <w:rFonts w:ascii="Times New Roman" w:eastAsia="华文楷体" w:hAnsi="Times New Roman"/>
          <w:sz w:val="32"/>
          <w:szCs w:val="32"/>
        </w:rPr>
        <w:t xml:space="preserve">In the event of one of the contracting States wishing to denounce the present Convention, the denunciation shall be notified in writing to the Belgian Government, which shall immediately communicate a duly certified copy of the notification to all the other States, informing them of the date on which it was received.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The denunciation shall only operate in respect of the State which made the notification, and on the expiry of one year after </w:t>
      </w:r>
      <w:r>
        <w:rPr>
          <w:rFonts w:ascii="Times New Roman" w:eastAsia="华文楷体" w:hAnsi="Times New Roman"/>
          <w:sz w:val="32"/>
          <w:szCs w:val="32"/>
        </w:rPr>
        <w:lastRenderedPageBreak/>
        <w:t>the notification has reached the Belgian Government.</w:t>
      </w:r>
    </w:p>
    <w:p w:rsidR="0036147C" w:rsidRDefault="0036147C" w:rsidP="0036147C">
      <w:pPr>
        <w:spacing w:line="560" w:lineRule="exact"/>
        <w:ind w:firstLineChars="200" w:firstLine="641"/>
        <w:rPr>
          <w:rFonts w:ascii="Times New Roman" w:eastAsia="华文楷体" w:hAnsi="Times New Roman"/>
          <w:sz w:val="32"/>
          <w:szCs w:val="32"/>
        </w:rPr>
      </w:pPr>
      <w:r>
        <w:rPr>
          <w:rFonts w:ascii="Times New Roman" w:eastAsia="华文楷体" w:hAnsi="Times New Roman"/>
          <w:b/>
          <w:bCs/>
          <w:sz w:val="32"/>
          <w:szCs w:val="32"/>
        </w:rPr>
        <w:t>Article 16</w:t>
      </w:r>
      <w:r w:rsidR="006B4B7B">
        <w:rPr>
          <w:rFonts w:ascii="Times New Roman" w:eastAsia="华文楷体" w:hAnsi="Times New Roman"/>
          <w:sz w:val="32"/>
          <w:szCs w:val="32"/>
        </w:rPr>
        <w:t xml:space="preserve"> </w:t>
      </w:r>
      <w:r>
        <w:rPr>
          <w:rFonts w:ascii="Times New Roman" w:eastAsia="华文楷体" w:hAnsi="Times New Roman"/>
          <w:sz w:val="32"/>
          <w:szCs w:val="32"/>
        </w:rPr>
        <w:t xml:space="preserve">Any one of the contracting States shall have the right to call for a fresh conference with a view to considering possible amendments.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A State which would exercise this right should notify its intention to the other States through the Belgian Government, which would make arrangements for convening the Conference.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DONE at Brussels, in a single copy, August 25th, 1924.</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Protocol of Signature</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At the time of signing the International Convention for the Unification of Certain Rules of Law relating to Bills of Lading the Plenipotentiaries whose signatures appear below have adopted this Protocol, which will have the same force and the same value as if its provisions were inserted in the text of the Convention to which it relates.</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The High Contracting Parties may give effect to this Convention either by giving it the force of law or by including in their national legislation in a form appropriate to that legislation the rules adopted under this Convention.</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They may reserve the right: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1.To prescribe that in the cases referred to in paragraph 2(c) to (p) of Article 4 the holder of a bill of lading shall be entitled to establish responsibility for loss or damage arising from the personal fault of the carrier or the fault of his servants which are </w:t>
      </w:r>
      <w:r>
        <w:rPr>
          <w:rFonts w:ascii="Times New Roman" w:eastAsia="华文楷体" w:hAnsi="Times New Roman"/>
          <w:sz w:val="32"/>
          <w:szCs w:val="32"/>
        </w:rPr>
        <w:lastRenderedPageBreak/>
        <w:t xml:space="preserve">not covered by paragraph (a).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 xml:space="preserve">2.To apply Article 6 in so far as the national coasting trade is concerned to all classes of goods without taking account of the restriction set out in the last paragraph of that Article. </w:t>
      </w:r>
    </w:p>
    <w:p w:rsidR="0036147C" w:rsidRDefault="0036147C" w:rsidP="0036147C">
      <w:pPr>
        <w:spacing w:line="560" w:lineRule="exact"/>
        <w:ind w:firstLineChars="200" w:firstLine="640"/>
        <w:rPr>
          <w:rFonts w:ascii="Times New Roman" w:eastAsia="华文楷体" w:hAnsi="Times New Roman"/>
          <w:sz w:val="32"/>
          <w:szCs w:val="32"/>
        </w:rPr>
      </w:pPr>
      <w:r>
        <w:rPr>
          <w:rFonts w:ascii="Times New Roman" w:eastAsia="华文楷体" w:hAnsi="Times New Roman"/>
          <w:sz w:val="32"/>
          <w:szCs w:val="32"/>
        </w:rPr>
        <w:t>DONE at Brussels, in single copy, August 25th, 1924.</w:t>
      </w:r>
    </w:p>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36147C" w:rsidRDefault="0036147C" w:rsidP="0036147C"/>
    <w:p w:rsidR="00FF2450" w:rsidRDefault="00FF2450"/>
    <w:sectPr w:rsidR="00FF2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44" w:rsidRDefault="00821844" w:rsidP="00E72162">
      <w:r>
        <w:separator/>
      </w:r>
    </w:p>
  </w:endnote>
  <w:endnote w:type="continuationSeparator" w:id="0">
    <w:p w:rsidR="00821844" w:rsidRDefault="00821844" w:rsidP="00E7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44" w:rsidRDefault="00821844" w:rsidP="00E72162">
      <w:r>
        <w:separator/>
      </w:r>
    </w:p>
  </w:footnote>
  <w:footnote w:type="continuationSeparator" w:id="0">
    <w:p w:rsidR="00821844" w:rsidRDefault="00821844" w:rsidP="00E72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7C"/>
    <w:rsid w:val="0034368C"/>
    <w:rsid w:val="0036147C"/>
    <w:rsid w:val="003772CB"/>
    <w:rsid w:val="004272D9"/>
    <w:rsid w:val="00465D35"/>
    <w:rsid w:val="006B4B7B"/>
    <w:rsid w:val="00821844"/>
    <w:rsid w:val="00E66DBA"/>
    <w:rsid w:val="00E72162"/>
    <w:rsid w:val="00FF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9210D1-52DF-4426-B8BB-0FEF6DC7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47C"/>
    <w:pPr>
      <w:widowControl w:val="0"/>
      <w:jc w:val="both"/>
    </w:pPr>
    <w:rPr>
      <w:szCs w:val="24"/>
    </w:rPr>
  </w:style>
  <w:style w:type="paragraph" w:styleId="2">
    <w:name w:val="heading 2"/>
    <w:basedOn w:val="a"/>
    <w:next w:val="a"/>
    <w:link w:val="20"/>
    <w:unhideWhenUsed/>
    <w:qFormat/>
    <w:rsid w:val="0036147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36147C"/>
    <w:rPr>
      <w:rFonts w:asciiTheme="majorHAnsi" w:eastAsiaTheme="majorEastAsia" w:hAnsiTheme="majorHAnsi" w:cstheme="majorBidi"/>
      <w:b/>
      <w:bCs/>
      <w:sz w:val="32"/>
      <w:szCs w:val="32"/>
    </w:rPr>
  </w:style>
  <w:style w:type="paragraph" w:styleId="a3">
    <w:name w:val="header"/>
    <w:basedOn w:val="a"/>
    <w:link w:val="a4"/>
    <w:uiPriority w:val="99"/>
    <w:unhideWhenUsed/>
    <w:rsid w:val="00E721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2162"/>
    <w:rPr>
      <w:sz w:val="18"/>
      <w:szCs w:val="18"/>
    </w:rPr>
  </w:style>
  <w:style w:type="paragraph" w:styleId="a5">
    <w:name w:val="footer"/>
    <w:basedOn w:val="a"/>
    <w:link w:val="a6"/>
    <w:uiPriority w:val="99"/>
    <w:unhideWhenUsed/>
    <w:rsid w:val="00E72162"/>
    <w:pPr>
      <w:tabs>
        <w:tab w:val="center" w:pos="4153"/>
        <w:tab w:val="right" w:pos="8306"/>
      </w:tabs>
      <w:snapToGrid w:val="0"/>
      <w:jc w:val="left"/>
    </w:pPr>
    <w:rPr>
      <w:sz w:val="18"/>
      <w:szCs w:val="18"/>
    </w:rPr>
  </w:style>
  <w:style w:type="character" w:customStyle="1" w:styleId="a6">
    <w:name w:val="页脚 字符"/>
    <w:basedOn w:val="a0"/>
    <w:link w:val="a5"/>
    <w:uiPriority w:val="99"/>
    <w:rsid w:val="00E721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2851</Words>
  <Characters>16253</Characters>
  <Application>Microsoft Office Word</Application>
  <DocSecurity>0</DocSecurity>
  <Lines>135</Lines>
  <Paragraphs>38</Paragraphs>
  <ScaleCrop>false</ScaleCrop>
  <Company>江苏省法官培训学院</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陈青青</dc:creator>
  <cp:keywords/>
  <dc:description/>
  <cp:lastModifiedBy>陈青青</cp:lastModifiedBy>
  <cp:revision>7</cp:revision>
  <dcterms:created xsi:type="dcterms:W3CDTF">2019-11-27T08:43:00Z</dcterms:created>
  <dcterms:modified xsi:type="dcterms:W3CDTF">2019-12-02T02:25:00Z</dcterms:modified>
</cp:coreProperties>
</file>