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Times New Roman" w:hAnsi="仿宋" w:eastAsia="仿宋" w:cs="Calibri"/>
          <w:sz w:val="32"/>
          <w:szCs w:val="32"/>
        </w:rPr>
      </w:pPr>
      <w:r>
        <w:rPr>
          <w:rFonts w:hint="eastAsia" w:ascii="Times New Roman" w:hAnsi="仿宋" w:eastAsia="仿宋" w:cs="Calibri"/>
          <w:sz w:val="32"/>
          <w:szCs w:val="32"/>
        </w:rPr>
        <w:t>附件1：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36"/>
          <w:szCs w:val="36"/>
        </w:rPr>
        <w:t>疫情防控要求</w:t>
      </w:r>
    </w:p>
    <w:p>
      <w:pPr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宋体"/>
          <w:color w:val="000000"/>
          <w:sz w:val="28"/>
          <w:szCs w:val="28"/>
          <w:lang w:val="en-US" w:eastAsia="zh-CN"/>
        </w:rPr>
        <w:t>各位专家代表</w:t>
      </w:r>
      <w:r>
        <w:rPr>
          <w:rFonts w:hint="eastAsia" w:eastAsia="宋体"/>
          <w:color w:val="000000"/>
          <w:sz w:val="28"/>
          <w:szCs w:val="28"/>
        </w:rPr>
        <w:t>：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江苏省法学会海商法学研究会2021年年会将于2021年12月17日江苏省镇江市召开。为做好会议期间的疫情防控工作，根据疫情防控相关要求，参会人员须遵守以下防控要求：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参会人员应当强化疫情防控责任意识，认真学习疫情防控知识，严格遵守疫情防控有关规定，及时如实报告个人健康状况，自觉接受疫情防控管理。</w:t>
      </w:r>
    </w:p>
    <w:p>
      <w:pPr>
        <w:spacing w:line="560" w:lineRule="exact"/>
        <w:ind w:firstLine="64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1．参会要求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所有参会人员原则上要求完成疫苗接种；报到时需提供健康码、行程码。</w:t>
      </w:r>
    </w:p>
    <w:p>
      <w:pPr>
        <w:spacing w:line="560" w:lineRule="exact"/>
        <w:ind w:firstLine="64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2．健康排查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根据大会疫情防控要求，参会人员全面进行会前21天相关健康排查（流行病学史筛查）。</w:t>
      </w:r>
      <w:r>
        <w:rPr>
          <w:rFonts w:hint="eastAsia" w:eastAsia="宋体"/>
          <w:b/>
          <w:color w:val="000000"/>
          <w:sz w:val="28"/>
          <w:szCs w:val="28"/>
        </w:rPr>
        <w:t>请如实填写《健康承诺书》并签字，报到时提交工作人员。</w:t>
      </w:r>
      <w:r>
        <w:rPr>
          <w:rFonts w:hint="eastAsia" w:eastAsia="宋体"/>
          <w:color w:val="000000"/>
          <w:sz w:val="28"/>
          <w:szCs w:val="28"/>
        </w:rPr>
        <w:t>如遇疫情等突发情况，将按要求调整。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存在以下情形的人员，不得参会：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（1）确诊病例、疑似病例、无症状感染者和尚在隔离观察期的密切接触者；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（2）已治愈出院的确诊病例，但尚在随访或医学观察期者；近14天有发热、咳嗽等症状未痊愈者；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（3）未排除传染病及身体不适者；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（4）21天内有国内中高风险等疫情重点地区旅居史和接触史者；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（5）居住社区21天内发生疫情者；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（6）21天内有港澳台地区或境外旅居史的人员。</w:t>
      </w:r>
    </w:p>
    <w:p>
      <w:pPr>
        <w:spacing w:line="560" w:lineRule="exact"/>
        <w:ind w:firstLine="64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3．交通出行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参会人员尽量选择乘坐率较低的飞机、火车出行，建议自驾出行，出行前应备齐防护用品，做好个人防护，全程佩戴一次性医用口罩，注意保持手部卫生，尽量保持与其他人员的距离，减少在机场（车站）等人员密集场所停留时间。</w:t>
      </w:r>
    </w:p>
    <w:p>
      <w:pPr>
        <w:spacing w:line="560" w:lineRule="exact"/>
        <w:ind w:firstLine="64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4．会议报到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参会人员到达会场后，请配合工作人员进行体温检测及健康码、行程码查验，并提交《健康承诺书》。无异常者给予办理报到手续（办理期间请自觉保持安全距离、减少人员聚集）。</w:t>
      </w:r>
    </w:p>
    <w:p>
      <w:pPr>
        <w:spacing w:line="560" w:lineRule="exact"/>
        <w:ind w:firstLine="64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5．健康监测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所有参会人员每天采取自查方式进行健康监测，早、晚各进行1次体温测量。如出现发热、乏力、咳嗽、咽痛、打喷嚏、腹泻、呕吐、黄疸、皮疹、结膜充血等疑似症状，应立即向会场相关负责人报告。</w:t>
      </w:r>
    </w:p>
    <w:p>
      <w:pPr>
        <w:spacing w:line="560" w:lineRule="exact"/>
        <w:ind w:firstLine="64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6．会场须知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进入会场时应科学合理佩戴口罩，测量体温正常后，方能进入会场。休会期间保持1米以上社交距离，尽量避免人员聚集和长时间交谈。</w:t>
      </w:r>
    </w:p>
    <w:p>
      <w:pPr>
        <w:spacing w:line="560" w:lineRule="exact"/>
        <w:ind w:firstLine="640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7．就餐须知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采取分区域、分批次、轮流就餐、错时就餐方式；为减少人员聚集，请尽量缩短就餐时间。</w:t>
      </w:r>
    </w:p>
    <w:p>
      <w:pPr>
        <w:spacing w:line="560" w:lineRule="exact"/>
        <w:ind w:firstLine="640"/>
        <w:rPr>
          <w:rFonts w:eastAsia="宋体"/>
          <w:color w:val="000000"/>
          <w:sz w:val="28"/>
          <w:szCs w:val="28"/>
        </w:rPr>
      </w:pPr>
      <w:r>
        <w:rPr>
          <w:rFonts w:hint="eastAsia" w:eastAsia="宋体"/>
          <w:color w:val="000000"/>
          <w:sz w:val="28"/>
          <w:szCs w:val="28"/>
        </w:rPr>
        <w:t>有紧急情况请联系大会保障组：</w:t>
      </w:r>
    </w:p>
    <w:p>
      <w:pPr>
        <w:spacing w:line="580" w:lineRule="exact"/>
        <w:ind w:firstLine="560" w:firstLineChars="200"/>
        <w:jc w:val="left"/>
        <w:rPr>
          <w:rFonts w:ascii="Times New Roman" w:hAnsi="Times New Roman" w:eastAsia="仿宋" w:cs="Calibri"/>
          <w:sz w:val="28"/>
          <w:szCs w:val="28"/>
        </w:rPr>
      </w:pPr>
      <w:r>
        <w:rPr>
          <w:rFonts w:hint="eastAsia" w:ascii="Times New Roman" w:hAnsi="仿宋" w:eastAsia="仿宋" w:cs="Calibri"/>
          <w:sz w:val="28"/>
          <w:szCs w:val="28"/>
        </w:rPr>
        <w:t>郭  峰</w:t>
      </w:r>
      <w:r>
        <w:rPr>
          <w:rFonts w:hint="eastAsia" w:ascii="Times New Roman" w:hAnsi="Times New Roman" w:eastAsia="仿宋" w:cs="Calibri"/>
          <w:sz w:val="28"/>
          <w:szCs w:val="28"/>
        </w:rPr>
        <w:t>18801582758</w:t>
      </w:r>
      <w:r>
        <w:rPr>
          <w:rFonts w:hint="eastAsia" w:hAnsi="仿宋" w:eastAsia="仿宋"/>
          <w:sz w:val="28"/>
          <w:szCs w:val="28"/>
        </w:rPr>
        <w:t>、</w:t>
      </w:r>
      <w:r>
        <w:rPr>
          <w:rFonts w:hint="eastAsia" w:ascii="Times New Roman" w:hAnsi="仿宋" w:eastAsia="仿宋" w:cs="Calibri"/>
          <w:sz w:val="28"/>
          <w:szCs w:val="28"/>
        </w:rPr>
        <w:t>张艺开</w:t>
      </w:r>
      <w:r>
        <w:rPr>
          <w:rFonts w:hint="eastAsia" w:ascii="Times New Roman" w:hAnsi="Times New Roman" w:eastAsia="仿宋" w:cs="Calibri"/>
          <w:sz w:val="28"/>
          <w:szCs w:val="28"/>
        </w:rPr>
        <w:t>13813071873</w:t>
      </w:r>
      <w:r>
        <w:rPr>
          <w:rFonts w:hint="eastAsia" w:ascii="Times New Roman" w:hAnsi="Times New Roman" w:eastAsia="仿宋" w:cs="Calibri"/>
          <w:sz w:val="28"/>
          <w:szCs w:val="28"/>
          <w:lang w:eastAsia="zh-CN"/>
        </w:rPr>
        <w:t>、陈兴 13775557277</w:t>
      </w:r>
      <w:r>
        <w:rPr>
          <w:rFonts w:hint="eastAsia" w:eastAsia="仿宋" w:cs="Calibri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10150"/>
    <w:rsid w:val="465C4378"/>
    <w:rsid w:val="6EE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2021-12-01T08:11:00Z</dcterms:created>
  <dc:creator>海事法院</dc:creator>
  <cp:lastModifiedBy>kay</cp:lastModifiedBy>
  <dcterms:modified xsi:type="dcterms:W3CDTF">2021-12-03T08:04:11Z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0430BF086AC548F18F9BBC03502FDF09</vt:lpwstr>
  </property>
</Properties>
</file>